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3"/>
        <w:ind w:left="4536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  <w:lang w:val="en-US"/>
        </w:rPr>
        <w:t xml:space="preserve">8</w:t>
      </w:r>
      <w:r>
        <w:rPr>
          <w:sz w:val="20"/>
          <w:szCs w:val="20"/>
          <w:lang w:val="en-US"/>
        </w:rPr>
      </w:r>
      <w:r>
        <w:rPr>
          <w:sz w:val="20"/>
          <w:szCs w:val="20"/>
          <w:lang w:val="en-US"/>
        </w:rPr>
      </w:r>
    </w:p>
    <w:p>
      <w:pPr>
        <w:pStyle w:val="913"/>
        <w:ind w:left="4536"/>
        <w:rPr>
          <w:sz w:val="20"/>
          <w:szCs w:val="20"/>
        </w:rPr>
      </w:pPr>
      <w:r>
        <w:rPr>
          <w:sz w:val="20"/>
          <w:szCs w:val="20"/>
        </w:rPr>
        <w:t xml:space="preserve">к Условиям открытия банковских счетов и расчетно-кассового обслуживания клиента в АО «Россельхозбанк»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13"/>
        <w:ind w:left="3828"/>
        <w:jc w:val="right"/>
        <w:spacing w:before="120"/>
        <w:rPr>
          <w:i/>
          <w:sz w:val="20"/>
          <w:szCs w:val="20"/>
        </w:rPr>
      </w:pPr>
      <w:r>
        <w:rPr>
          <w:i/>
          <w:sz w:val="20"/>
          <w:szCs w:val="20"/>
        </w:rPr>
      </w:r>
      <w:r>
        <w:rPr>
          <w:i/>
          <w:sz w:val="20"/>
          <w:szCs w:val="20"/>
        </w:rPr>
      </w:r>
    </w:p>
    <w:p>
      <w:pPr>
        <w:pStyle w:val="913"/>
        <w:ind w:left="4820"/>
      </w:pPr>
      <w:r/>
      <w:r/>
    </w:p>
    <w:p>
      <w:pPr>
        <w:pStyle w:val="913"/>
        <w:ind w:left="4820"/>
      </w:pPr>
      <w:r/>
      <w:r/>
    </w:p>
    <w:p>
      <w:pPr>
        <w:pStyle w:val="920"/>
        <w:rPr>
          <w:sz w:val="24"/>
          <w:szCs w:val="24"/>
        </w:rPr>
      </w:pPr>
      <w:r>
        <w:rPr>
          <w:sz w:val="24"/>
          <w:szCs w:val="24"/>
        </w:rPr>
        <w:t xml:space="preserve">Регламент совершения Банком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0"/>
        <w:rPr>
          <w:sz w:val="24"/>
          <w:szCs w:val="24"/>
        </w:rPr>
      </w:pPr>
      <w:r>
        <w:rPr>
          <w:sz w:val="24"/>
          <w:szCs w:val="24"/>
        </w:rPr>
        <w:t xml:space="preserve">периодическо</w:t>
      </w:r>
      <w:r>
        <w:rPr>
          <w:sz w:val="24"/>
          <w:szCs w:val="24"/>
        </w:rPr>
        <w:t xml:space="preserve">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перевод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денежных средств</w:t>
      </w:r>
      <w:r>
        <w:rPr>
          <w:sz w:val="24"/>
          <w:szCs w:val="24"/>
        </w:rPr>
        <w:t xml:space="preserve"> со Счета Клиента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3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</w:r>
      <w:r>
        <w:rPr>
          <w:i/>
          <w:iCs/>
          <w:sz w:val="22"/>
          <w:szCs w:val="22"/>
        </w:rPr>
      </w:r>
      <w:r>
        <w:rPr>
          <w:i/>
          <w:iCs/>
          <w:sz w:val="22"/>
          <w:szCs w:val="22"/>
        </w:rPr>
      </w:r>
    </w:p>
    <w:p>
      <w:pPr>
        <w:pStyle w:val="913"/>
        <w:numPr>
          <w:ilvl w:val="0"/>
          <w:numId w:val="1"/>
        </w:numPr>
        <w:ind w:left="0" w:firstLine="709"/>
        <w:jc w:val="both"/>
        <w:tabs>
          <w:tab w:val="left" w:pos="1134" w:leader="none"/>
        </w:tabs>
      </w:pPr>
      <w:r>
        <w:rPr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227965</wp:posOffset>
                </wp:positionV>
                <wp:extent cx="0" cy="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524288;mso-wrap-distance-left:9.00pt;mso-wrap-distance-top:0.00pt;mso-wrap-distance-right:9.00pt;mso-wrap-distance-bottom:0.00pt;visibility:visible;" from="225.0pt,17.9pt" to="225.0pt,17.9pt" filled="f" strokecolor="#000000"/>
            </w:pict>
          </mc:Fallback>
        </mc:AlternateContent>
      </w:r>
      <w:r>
        <w:rPr>
          <w:iCs/>
        </w:rPr>
        <w:t xml:space="preserve">Клиент</w:t>
      </w:r>
      <w:r>
        <w:t xml:space="preserve"> </w:t>
      </w:r>
      <w:r>
        <w:t xml:space="preserve">поручает Банку осуществить перевод дене</w:t>
      </w:r>
      <w:r>
        <w:t xml:space="preserve">жных средств со Счета/Счетов Клиента</w:t>
      </w:r>
      <w:r>
        <w:t xml:space="preserve"> (за исключением </w:t>
      </w:r>
      <w:r>
        <w:t xml:space="preserve">специальных счетов, депозитного счета нотариуса и </w:t>
      </w:r>
      <w:r>
        <w:t xml:space="preserve">счет</w:t>
      </w:r>
      <w:r>
        <w:t xml:space="preserve">а</w:t>
      </w:r>
      <w:r>
        <w:t xml:space="preserve"> доверительного управления средствами пенсионных накоплений</w:t>
      </w:r>
      <w:r>
        <w:t xml:space="preserve">)</w:t>
      </w:r>
      <w:r>
        <w:t xml:space="preserve">, открытых в Банке в валюте РФ, на расчетные счета юридических лиц</w:t>
      </w:r>
      <w:r>
        <w:t xml:space="preserve">, индивидуальных предпринимателей и физических лиц, занимающихся в установленном законодательством </w:t>
      </w:r>
      <w:r>
        <w:t xml:space="preserve">Российской Федерации</w:t>
      </w:r>
      <w:r>
        <w:t xml:space="preserve"> порядке частной практикой, в соответствии с условиями, указанн</w:t>
      </w:r>
      <w:r>
        <w:t xml:space="preserve">ы</w:t>
      </w:r>
      <w:r>
        <w:t xml:space="preserve">ми в Распоряжении на периодическое перечисление денежных средств, с</w:t>
      </w:r>
      <w:r>
        <w:t xml:space="preserve">оставленном по форме Приложения </w:t>
      </w:r>
      <w:r>
        <w:t xml:space="preserve">к настоящему Регламенту (далее – Распоряжение). </w:t>
      </w:r>
      <w:r/>
    </w:p>
    <w:p>
      <w:pPr>
        <w:pStyle w:val="913"/>
        <w:numPr>
          <w:ilvl w:val="0"/>
          <w:numId w:val="1"/>
        </w:numPr>
        <w:ind w:left="0" w:firstLine="709"/>
        <w:jc w:val="both"/>
        <w:tabs>
          <w:tab w:val="left" w:pos="851" w:leader="none"/>
          <w:tab w:val="left" w:pos="1134" w:leader="none"/>
        </w:tabs>
      </w:pPr>
      <w:r>
        <w:t xml:space="preserve">Распоряжения Клиента, на основании которых Банк будет составлять расчетные документы для проведения переводов по Счетам Клиента</w:t>
      </w:r>
      <w:r>
        <w:t xml:space="preserve">, </w:t>
      </w:r>
      <w:r>
        <w:rPr>
          <w:iCs/>
        </w:rPr>
        <w:t xml:space="preserve">должны быть предъявлены в Подразделение Банка</w:t>
      </w:r>
      <w:r>
        <w:t xml:space="preserve"> </w:t>
      </w:r>
      <w:r>
        <w:t xml:space="preserve">в порядке, указанном в п</w:t>
      </w:r>
      <w:r>
        <w:t xml:space="preserve">ункте</w:t>
      </w:r>
      <w:r>
        <w:t xml:space="preserve"> </w:t>
      </w:r>
      <w:r>
        <w:t xml:space="preserve">2</w:t>
      </w:r>
      <w:r>
        <w:t xml:space="preserve">.1</w:t>
      </w:r>
      <w:r>
        <w:t xml:space="preserve">1</w:t>
      </w:r>
      <w:r>
        <w:t xml:space="preserve"> Условий. </w:t>
      </w:r>
      <w:r/>
    </w:p>
    <w:p>
      <w:pPr>
        <w:pStyle w:val="926"/>
        <w:numPr>
          <w:ilvl w:val="0"/>
          <w:numId w:val="1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Предъявляя в Банк Распоряжение в соответствии с настоящим Регламентом, Клиент поручает Банку проводить по Счету, указанному в Распоряжении и открытому Клиенту </w:t>
      </w:r>
      <w:r>
        <w:rPr>
          <w:rFonts w:ascii="Times New Roman" w:hAnsi="Times New Roman" w:cs="Times New Roman"/>
          <w:sz w:val="24"/>
          <w:szCs w:val="24"/>
        </w:rPr>
        <w:t xml:space="preserve">в Банке в валюте РФ</w:t>
      </w:r>
      <w:r>
        <w:rPr>
          <w:rFonts w:ascii="Times New Roman" w:hAnsi="Times New Roman" w:cs="Times New Roman"/>
          <w:sz w:val="24"/>
          <w:szCs w:val="24"/>
        </w:rPr>
        <w:t xml:space="preserve">, переводы в валюте РФ на основании расчетных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документов, составляемых Банком для исполнения предъявленного Распоряжения. Банк обязуется составлять на основании Распоряжений Клиента, пред</w:t>
      </w:r>
      <w:r>
        <w:rPr>
          <w:rFonts w:ascii="Times New Roman" w:hAnsi="Times New Roman" w:cs="Times New Roman"/>
          <w:sz w:val="24"/>
          <w:szCs w:val="24"/>
        </w:rPr>
        <w:t xml:space="preserve">ъявленных в Банк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настоящим Регламентом, расчетные документы и проводить на их основании по Счету Клиента, открытому Клиенту в Банке в валюте РФ и не являющемуся Счетом со Специальным режимом, переводы в валюте РФ.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numPr>
          <w:ilvl w:val="0"/>
          <w:numId w:val="1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Распоряжение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должно быть предъявлено Клиентом в 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за 3 (Три) рабочих дня до дня, когда Банк должен осуществить первый перевод денежных средств со Счета Клиента и с</w:t>
      </w:r>
      <w:r>
        <w:rPr>
          <w:rFonts w:ascii="Times New Roman" w:hAnsi="Times New Roman" w:cs="Times New Roman"/>
          <w:sz w:val="24"/>
          <w:szCs w:val="24"/>
        </w:rPr>
        <w:t xml:space="preserve">одержать сведения, которые указываются в расчетных документах в соответствии с законодательством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в течение срока действия </w:t>
      </w:r>
      <w:r>
        <w:rPr>
          <w:rFonts w:ascii="Times New Roman" w:hAnsi="Times New Roman" w:cs="Times New Roman"/>
          <w:sz w:val="24"/>
          <w:szCs w:val="24"/>
        </w:rPr>
        <w:t xml:space="preserve">Договора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РКО </w:t>
      </w:r>
      <w:r>
        <w:rPr>
          <w:rFonts w:ascii="Times New Roman" w:hAnsi="Times New Roman" w:cs="Times New Roman"/>
          <w:iCs/>
          <w:sz w:val="24"/>
          <w:szCs w:val="24"/>
        </w:rPr>
        <w:t xml:space="preserve">вправе предъявлять в 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, в соответствии с установленными настоящим Регламентом</w:t>
      </w:r>
      <w:r>
        <w:rPr>
          <w:rFonts w:ascii="Times New Roman" w:hAnsi="Times New Roman" w:cs="Times New Roman"/>
          <w:sz w:val="24"/>
          <w:szCs w:val="24"/>
        </w:rPr>
        <w:t xml:space="preserve"> условиями </w:t>
      </w:r>
      <w:r>
        <w:rPr>
          <w:rFonts w:ascii="Times New Roman" w:hAnsi="Times New Roman" w:cs="Times New Roman"/>
          <w:sz w:val="24"/>
          <w:szCs w:val="24"/>
        </w:rPr>
        <w:t xml:space="preserve">неограниченное количество Распоряжений.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Ответственность за правильность реквизитов, указанных в Распоряжении, а также за их своевременное обновление/изменение условий распоряжения несет Клиент.</w:t>
      </w:r>
      <w:r>
        <w:rPr>
          <w:rFonts w:ascii="Times New Roman" w:hAnsi="Times New Roman" w:cs="Times New Roman"/>
          <w:vanish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Распоряжение, реквизиты которого не соответствуют установленным действующим законодательством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для осуществления перевода денежных средств Банк не принимает.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numPr>
          <w:ilvl w:val="0"/>
          <w:numId w:val="1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изменении сведений, указанных в Распоряжении, Клиент </w:t>
      </w:r>
      <w:r>
        <w:rPr>
          <w:rFonts w:ascii="Times New Roman" w:hAnsi="Times New Roman" w:cs="Times New Roman"/>
          <w:sz w:val="24"/>
          <w:szCs w:val="24"/>
        </w:rPr>
        <w:t xml:space="preserve">представляет </w:t>
        <w:br w:type="textWrapping" w:clear="all"/>
        <w:t xml:space="preserve">в 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новое Распоряжение, не позднее 1 (Одного) рабочего дня до даты, указанной в Распоряжении для осуществления перевода денежных средств в рамках данного Распоряжения.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numPr>
          <w:ilvl w:val="0"/>
          <w:numId w:val="1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настоящего Регламента Клиент не вправе давать Банку Распоряжения для </w:t>
      </w:r>
      <w:r>
        <w:rPr>
          <w:rFonts w:ascii="Times New Roman" w:hAnsi="Times New Roman" w:cs="Times New Roman"/>
          <w:sz w:val="24"/>
          <w:szCs w:val="24"/>
        </w:rPr>
        <w:t xml:space="preserve">перечисления</w:t>
      </w:r>
      <w:r>
        <w:rPr>
          <w:rFonts w:ascii="Times New Roman" w:hAnsi="Times New Roman" w:cs="Times New Roman"/>
          <w:sz w:val="24"/>
          <w:szCs w:val="24"/>
        </w:rPr>
        <w:t xml:space="preserve"> денежных средств со Счета Клиента: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бюджетные системы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и внебюджетные фонды;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пользу нерезидентов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 валютным операциям в соответствии с законодательством Р</w:t>
      </w:r>
      <w:r>
        <w:rPr>
          <w:rFonts w:ascii="Times New Roman" w:hAnsi="Times New Roman" w:cs="Times New Roman"/>
          <w:sz w:val="24"/>
          <w:szCs w:val="24"/>
        </w:rPr>
        <w:t xml:space="preserve">оссийской </w:t>
      </w:r>
      <w:r>
        <w:rPr>
          <w:rFonts w:ascii="Times New Roman" w:hAnsi="Times New Roman" w:cs="Times New Roman"/>
          <w:sz w:val="24"/>
          <w:szCs w:val="24"/>
        </w:rPr>
        <w:t xml:space="preserve">Ф</w:t>
      </w:r>
      <w:r>
        <w:rPr>
          <w:rFonts w:ascii="Times New Roman" w:hAnsi="Times New Roman" w:cs="Times New Roman"/>
          <w:sz w:val="24"/>
          <w:szCs w:val="24"/>
        </w:rPr>
        <w:t xml:space="preserve">едерации</w:t>
      </w:r>
      <w:r>
        <w:rPr>
          <w:rFonts w:ascii="Times New Roman" w:hAnsi="Times New Roman" w:cs="Times New Roman"/>
          <w:sz w:val="24"/>
          <w:szCs w:val="24"/>
        </w:rPr>
        <w:t xml:space="preserve"> о валютном регулировании и валютном контроле;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numPr>
          <w:ilvl w:val="0"/>
          <w:numId w:val="1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в праве в любое время </w:t>
      </w:r>
      <w:r>
        <w:rPr>
          <w:rFonts w:ascii="Times New Roman" w:hAnsi="Times New Roman" w:cs="Times New Roman"/>
          <w:sz w:val="24"/>
          <w:szCs w:val="24"/>
        </w:rPr>
        <w:t xml:space="preserve">предъявить в 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письменное указание Банку прекратить исполнение соответствующего Распоряжения Клиента (заявление об отзыве Распоряжения). </w:t>
      </w:r>
      <w:r>
        <w:rPr>
          <w:rFonts w:ascii="Times New Roman" w:hAnsi="Times New Roman" w:cs="Times New Roman"/>
          <w:sz w:val="24"/>
          <w:szCs w:val="24"/>
        </w:rPr>
        <w:t xml:space="preserve">Указание должно быть </w:t>
      </w:r>
      <w:r>
        <w:rPr>
          <w:rFonts w:ascii="Times New Roman" w:hAnsi="Times New Roman" w:cs="Times New Roman"/>
          <w:sz w:val="24"/>
          <w:szCs w:val="24"/>
        </w:rPr>
        <w:t xml:space="preserve">предъявлено Клиентом в 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не позднее, чем за 1 (Один) рабочий день до дня, начиная с которого Банк прекращает исполнять Распоряжение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numPr>
          <w:ilvl w:val="0"/>
          <w:numId w:val="1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 денежных средств не осуществляется: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 наличии неисполненных расчетных документов, выставленных к Счету с которого осуществляется перевод по Распоряжению Клиента;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 предъ</w:t>
      </w:r>
      <w:r>
        <w:rPr>
          <w:rFonts w:ascii="Times New Roman" w:hAnsi="Times New Roman" w:cs="Times New Roman"/>
          <w:sz w:val="24"/>
          <w:szCs w:val="24"/>
        </w:rPr>
        <w:t xml:space="preserve">явлении в Банк решения уполномоченного органа о приостановлении операций по Счету, к которому Клиент предъявил Распоряжение в рамках </w:t>
      </w:r>
      <w:r>
        <w:rPr>
          <w:rFonts w:ascii="Times New Roman" w:hAnsi="Times New Roman" w:cs="Times New Roman"/>
          <w:sz w:val="24"/>
          <w:szCs w:val="24"/>
        </w:rPr>
        <w:t xml:space="preserve">Договора</w:t>
      </w:r>
      <w:r>
        <w:rPr>
          <w:rFonts w:ascii="Times New Roman" w:hAnsi="Times New Roman" w:cs="Times New Roman"/>
          <w:sz w:val="24"/>
          <w:szCs w:val="24"/>
        </w:rPr>
        <w:t xml:space="preserve"> РКО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настоящим прил</w:t>
      </w:r>
      <w:r>
        <w:rPr>
          <w:rFonts w:ascii="Times New Roman" w:hAnsi="Times New Roman" w:cs="Times New Roman"/>
          <w:sz w:val="24"/>
          <w:szCs w:val="24"/>
        </w:rPr>
        <w:t xml:space="preserve">ожением, без указания в таком решении суммы, в пределах которой расходные операции по счету должны быть приостановлены Банком, Банк не составляет расчетные документы для исполнения Распоряжения до момента получения Банком в установленном законодательством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порядке решения уполномоченного органа об отмене указанного решения о приостановлении операций.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ind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Если Клие</w:t>
      </w:r>
      <w:r>
        <w:rPr>
          <w:rFonts w:ascii="Times New Roman" w:hAnsi="Times New Roman" w:cs="Times New Roman"/>
          <w:sz w:val="24"/>
          <w:szCs w:val="24"/>
        </w:rPr>
        <w:t xml:space="preserve">нт оформляет несколько Распоряжений с одинаковым периодом времени/датой перевода денежных средств, то очередность переводов в случае недостаточности денежных средств на Счете Клиента осуществляется в порядке календарной очередности заключения Распоряжений.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numPr>
          <w:ilvl w:val="0"/>
          <w:numId w:val="2"/>
        </w:numPr>
        <w:ind w:left="0" w:right="0" w:firstLine="709"/>
        <w:jc w:val="both"/>
        <w:widowControl/>
        <w:tabs>
          <w:tab w:val="left" w:pos="1134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Расчетные документы составляются Банком в соответствии с требованиями нормативных актов Банка России по реквизитам, указанным в Распоряжении клиента. </w:t>
      </w:r>
      <w:r/>
    </w:p>
    <w:p>
      <w:pPr>
        <w:pStyle w:val="926"/>
        <w:numPr>
          <w:ilvl w:val="0"/>
          <w:numId w:val="2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невозможности осуществления перевода по расчетному документу, составленному на основании распоряжения (неверные реквизиты для перевода), Банк не осуществляет перевод, о чем направляет Клиенту уведомление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(в случае, если между Сторонами заключен и действует Договор о ДБО) либо заказным почтовым отправлением с уведомлением о вручении, не позднее следующего рабочего дня, следующего за днем неисполнения расчетного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numPr>
          <w:ilvl w:val="0"/>
          <w:numId w:val="2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дата перевода, указанная Клиентом в Распоряжении, приходится на нерабочий день (выходной и/или праздничный), то фактическое совершение операций осуществляется в первый рабочий день после выходных и/или праздничных дней.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numPr>
          <w:ilvl w:val="0"/>
          <w:numId w:val="2"/>
        </w:numPr>
        <w:ind w:left="0" w:right="0" w:firstLine="709"/>
        <w:jc w:val="both"/>
        <w:widowControl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услуги, оказываемые Банком Клиенту в соответствии с настоящим Регламентом, Клиент уплачивает Банку комиссионное вознаграждение в размере, установленном в Тарифах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26"/>
        <w:ind w:left="567" w:right="0" w:firstLine="0"/>
        <w:jc w:val="both"/>
        <w:widowControl/>
        <w:tabs>
          <w:tab w:val="left" w:pos="993" w:leader="none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</w:r>
      <w:r>
        <w:rPr>
          <w:rFonts w:ascii="Times New Roman" w:hAnsi="Times New Roman" w:cs="Times New Roman"/>
          <w:sz w:val="24"/>
          <w:szCs w:val="24"/>
          <w:lang w:val="en-US"/>
        </w:rPr>
      </w:r>
      <w:r>
        <w:rPr>
          <w:rFonts w:ascii="Times New Roman" w:hAnsi="Times New Roman" w:cs="Times New Roman"/>
          <w:sz w:val="24"/>
          <w:szCs w:val="24"/>
          <w:lang w:val="en-US"/>
        </w:rPr>
      </w:r>
    </w:p>
    <w:p>
      <w:pPr>
        <w:pStyle w:val="913"/>
        <w:ind w:left="4820"/>
        <w:rPr>
          <w:sz w:val="18"/>
          <w:szCs w:val="18"/>
          <w:lang w:val="en-US"/>
        </w:rPr>
      </w:pPr>
      <w:r>
        <w:br w:type="page" w:clear="all"/>
      </w:r>
      <w:r>
        <w:rPr>
          <w:sz w:val="18"/>
          <w:szCs w:val="18"/>
        </w:rPr>
        <w:t xml:space="preserve">Приложение </w:t>
      </w:r>
      <w:r>
        <w:rPr>
          <w:sz w:val="18"/>
          <w:szCs w:val="18"/>
          <w:lang w:val="en-US"/>
        </w:rPr>
      </w:r>
      <w:r>
        <w:rPr>
          <w:sz w:val="18"/>
          <w:szCs w:val="18"/>
          <w:lang w:val="en-US"/>
        </w:rPr>
      </w:r>
    </w:p>
    <w:p>
      <w:pPr>
        <w:pStyle w:val="913"/>
        <w:ind w:left="4820"/>
        <w:rPr>
          <w:color w:val="000000"/>
          <w:sz w:val="20"/>
          <w:szCs w:val="20"/>
        </w:rPr>
      </w:pPr>
      <w:r>
        <w:rPr>
          <w:sz w:val="18"/>
          <w:szCs w:val="18"/>
        </w:rPr>
        <w:t xml:space="preserve">к Регламенту совершения Банком периодического перевода денежных средств со Счета Клиента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26"/>
        <w:ind w:left="567" w:right="0" w:firstLine="0"/>
        <w:jc w:val="both"/>
        <w:widowControl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-459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80"/>
        <w:gridCol w:w="4591"/>
      </w:tblGrid>
      <w:tr>
        <w:tblPrEx/>
        <w:trPr>
          <w:trHeight w:val="94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80" w:type="dxa"/>
            <w:vAlign w:val="top"/>
            <w:textDirection w:val="lrTb"/>
            <w:noWrap w:val="false"/>
          </w:tcPr>
          <w:p>
            <w:pPr>
              <w:pStyle w:val="913"/>
              <w:spacing w:after="200" w:line="276" w:lineRule="auto"/>
              <w:rPr>
                <w:color w:val="000000"/>
                <w:sz w:val="20"/>
                <w:szCs w:val="20"/>
                <w:lang w:val="en-US"/>
              </w:rPr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514600" cy="514350"/>
                      <wp:effectExtent l="0" t="0" r="0" b="0"/>
                      <wp:docPr id="2" name="_x0000_i102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51460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98.00pt;height:40.50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color w:val="000000"/>
                <w:sz w:val="20"/>
                <w:szCs w:val="20"/>
                <w:lang w:val="en-US"/>
              </w:rPr>
            </w:r>
            <w:r>
              <w:rPr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1" w:type="dxa"/>
            <w:vAlign w:val="top"/>
            <w:textDirection w:val="lrTb"/>
            <w:noWrap w:val="false"/>
          </w:tcPr>
          <w:p>
            <w:pPr>
              <w:pStyle w:val="913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13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913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РАСПОРЯЖЕНИЕ №_______</w:t>
      </w:r>
      <w:r>
        <w:rPr>
          <w:b/>
          <w:color w:val="000000"/>
          <w:sz w:val="20"/>
          <w:szCs w:val="20"/>
        </w:rPr>
      </w:r>
      <w:r>
        <w:rPr>
          <w:b/>
          <w:color w:val="000000"/>
          <w:sz w:val="20"/>
          <w:szCs w:val="20"/>
        </w:rPr>
      </w:r>
    </w:p>
    <w:p>
      <w:pPr>
        <w:pStyle w:val="913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на периодический перевод денежных средств</w:t>
      </w:r>
      <w:r>
        <w:rPr>
          <w:b/>
          <w:color w:val="000000"/>
          <w:sz w:val="20"/>
          <w:szCs w:val="20"/>
        </w:rPr>
      </w:r>
      <w:r>
        <w:rPr>
          <w:b/>
          <w:color w:val="000000"/>
          <w:sz w:val="20"/>
          <w:szCs w:val="20"/>
        </w:rPr>
      </w:r>
    </w:p>
    <w:tbl>
      <w:tblPr>
        <w:tblW w:w="9780" w:type="dxa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780"/>
      </w:tblGrid>
      <w:tr>
        <w:tblPrEx/>
        <w:trPr/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913"/>
              <w:jc w:val="center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widowControl w:val="off"/>
              <w:rPr>
                <w:color w:val="000000"/>
              </w:rPr>
            </w:pPr>
            <w:r>
              <w:rPr>
                <w:iCs/>
                <w:sz w:val="16"/>
                <w:szCs w:val="16"/>
              </w:rPr>
              <w:t xml:space="preserve">(указывается полное наименование юридического лица/статус и Ф.И.О Клиента</w:t>
            </w:r>
            <w:r>
              <w:rPr>
                <w:iCs/>
                <w:sz w:val="16"/>
                <w:szCs w:val="16"/>
              </w:rPr>
              <w:t xml:space="preserve"> -</w:t>
            </w:r>
            <w:r>
              <w:rPr>
                <w:iCs/>
                <w:sz w:val="16"/>
                <w:szCs w:val="16"/>
              </w:rPr>
              <w:t xml:space="preserve"> физического лица осуществляющего предпринимательскую деятельность/занимающегося частной практикой)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913"/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ИНН/КИО _____________________________,ОГРН/ОГРНИП___________________________________________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85"/>
        </w:trPr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9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424"/>
        </w:trPr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940"/>
              <w:jc w:val="center"/>
              <w:widowControl w:val="off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  <w:r>
              <w:rPr>
                <w:color w:val="000000"/>
                <w:u w:val="singl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913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(указывается местонахождение Клиента (места жительства (пребывания, номер контактного телефона Клиента)</w:t>
            </w:r>
            <w:r>
              <w:rPr>
                <w:iCs/>
                <w:sz w:val="16"/>
                <w:szCs w:val="16"/>
              </w:rPr>
            </w:r>
            <w:r>
              <w:rPr>
                <w:iCs/>
                <w:sz w:val="16"/>
                <w:szCs w:val="16"/>
              </w:rPr>
            </w:r>
          </w:p>
          <w:p>
            <w:pPr>
              <w:pStyle w:val="9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имени Клиента: ______________________________________________________________________________,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                  (указать фамилию, имя, отчество, должность руководителя (уполномоченного представителя) Клиента/статус физического лица осуществляющего предпринимательскую деятельность/занимающегося частной практикой)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9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действующий на основании _______________________________________________________________________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13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(</w:t>
            </w:r>
            <w:r>
              <w:rPr>
                <w:color w:val="000000"/>
                <w:sz w:val="16"/>
                <w:szCs w:val="16"/>
              </w:rPr>
              <w:t xml:space="preserve">указать наименование документа – Устав, Доверенность, иной соответствующий документ)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  <w:p>
            <w:pPr>
              <w:pStyle w:val="9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5103"/>
        </w:trPr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9780" w:type="dxa"/>
            <w:vAlign w:val="top"/>
            <w:textDirection w:val="lrTb"/>
            <w:noWrap w:val="false"/>
          </w:tcPr>
          <w:p>
            <w:pPr>
              <w:pStyle w:val="913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 xml:space="preserve">Именуемое(ый) в дальнейшем «Клиент» поручает Банку на основании настоящего Распоряжения осуществлять перевод денежных средств с банковского счета №____</w:t>
            </w:r>
            <w:r>
              <w:rPr>
                <w:b/>
                <w:bCs/>
                <w:sz w:val="20"/>
                <w:szCs w:val="20"/>
              </w:rPr>
              <w:t xml:space="preserve">___________________________(далее - Счет), открытого Клиенту в Банке в валюте РФ, по реквизитам, указанным в настоящем Распоряжении. Для осуществления указанного перевода поручает Банку составлять необходимые расчетные документы со следующими реквизитами: </w:t>
            </w:r>
            <w:r>
              <w:rPr>
                <w:b/>
                <w:bCs/>
                <w:sz w:val="20"/>
                <w:szCs w:val="20"/>
                <w:lang w:eastAsia="en-US"/>
              </w:rPr>
            </w:r>
            <w:r>
              <w:rPr>
                <w:b/>
                <w:bCs/>
                <w:sz w:val="20"/>
                <w:szCs w:val="20"/>
                <w:lang w:eastAsia="en-US"/>
              </w:rPr>
            </w:r>
          </w:p>
          <w:tbl>
            <w:tblPr>
              <w:tblW w:w="9639" w:type="dxa"/>
              <w:tblInd w:w="29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730"/>
              <w:gridCol w:w="3543"/>
              <w:gridCol w:w="436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833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1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926"/>
                    <w:ind w:right="0" w:firstLine="0"/>
                    <w:widowControl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Сумма (указывается сумма (цифрами и прописью)/условия ее определяющие)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r>
                </w:p>
                <w:p>
                  <w:pPr>
                    <w:pStyle w:val="913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830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2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 xml:space="preserve">Наименование получателя</w:t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3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 xml:space="preserve">ИНН/КПП получателя</w:t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4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 xml:space="preserve">Счет № (указывается номер счета получателя денежных средств)</w:t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555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5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Наименование банка получателя</w:t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6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 xml:space="preserve">БИК банка получателя</w:t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7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Корреспондентский счет №  </w:t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  <w:r>
                    <w:rPr>
                      <w:color w:val="000000"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8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 xml:space="preserve">Назначение платежа (указывается назначение платежа и информация о наличии и размере налога)</w:t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rPr>
                      <w:b/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/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730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jc w:val="center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9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3543" w:type="dxa"/>
                  <w:vAlign w:val="center"/>
                  <w:textDirection w:val="lrTb"/>
                  <w:noWrap w:val="false"/>
                </w:tcPr>
                <w:p>
                  <w:pPr>
                    <w:pStyle w:val="913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 xml:space="preserve">Периодичность осуществления перевода</w:t>
                  </w:r>
                  <w:r>
                    <w:rPr>
                      <w:sz w:val="20"/>
                      <w:szCs w:val="20"/>
                      <w:lang w:eastAsia="en-US"/>
                    </w:rPr>
                  </w:r>
                  <w:r>
                    <w:rPr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366" w:type="dxa"/>
                  <w:vAlign w:val="top"/>
                  <w:textDirection w:val="lrTb"/>
                  <w:noWrap w:val="false"/>
                </w:tcPr>
                <w:p>
                  <w:pPr>
                    <w:pStyle w:val="913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Symbol" w:hAnsi="Symbol" w:eastAsia="Symbol" w:cs="Symbol"/>
                      <w:bCs/>
                      <w:sz w:val="20"/>
                      <w:szCs w:val="20"/>
                    </w:rPr>
                    <w:t xml:space="preserve"></w:t>
                  </w:r>
                  <w:r>
                    <w:rPr>
                      <w:bCs/>
                      <w:sz w:val="20"/>
                      <w:szCs w:val="20"/>
                    </w:rPr>
                    <w:t xml:space="preserve"> каждый рабочий день</w:t>
                  </w:r>
                  <w:r>
                    <w:rPr>
                      <w:rStyle w:val="941"/>
                      <w:bCs/>
                      <w:sz w:val="20"/>
                      <w:szCs w:val="20"/>
                    </w:rPr>
                    <w:footnoteReference w:id="2"/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  <w:p>
                  <w:pPr>
                    <w:pStyle w:val="913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rFonts w:ascii="Symbol" w:hAnsi="Symbol" w:eastAsia="Symbol" w:cs="Symbol"/>
                      <w:bCs/>
                      <w:sz w:val="20"/>
                      <w:szCs w:val="20"/>
                    </w:rPr>
                    <w:t xml:space="preserve"></w:t>
                  </w:r>
                  <w:r>
                    <w:rPr>
                      <w:bCs/>
                      <w:sz w:val="20"/>
                      <w:szCs w:val="20"/>
                    </w:rPr>
                    <w:t xml:space="preserve"> еженедельно, каждый(ую/ые)</w:t>
                  </w:r>
                  <w:r>
                    <w:rPr>
                      <w:rStyle w:val="941"/>
                      <w:bCs/>
                      <w:sz w:val="20"/>
                      <w:szCs w:val="20"/>
                    </w:rPr>
                    <w:footnoteReference w:id="3"/>
                  </w:r>
                  <w:r>
                    <w:rPr>
                      <w:bCs/>
                      <w:sz w:val="20"/>
                      <w:szCs w:val="20"/>
                    </w:rPr>
                    <w:t xml:space="preserve">____________________</w:t>
                  </w:r>
                  <w:r>
                    <w:rPr>
                      <w:bCs/>
                      <w:sz w:val="20"/>
                      <w:szCs w:val="20"/>
                    </w:rPr>
                  </w:r>
                  <w:r>
                    <w:rPr>
                      <w:bCs/>
                      <w:sz w:val="20"/>
                      <w:szCs w:val="20"/>
                    </w:rPr>
                  </w:r>
                </w:p>
                <w:p>
                  <w:pPr>
                    <w:pStyle w:val="913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rFonts w:ascii="Symbol" w:hAnsi="Symbol" w:eastAsia="Symbol" w:cs="Symbol"/>
                      <w:bCs/>
                      <w:sz w:val="20"/>
                      <w:szCs w:val="20"/>
                    </w:rPr>
                    <w:t xml:space="preserve"></w:t>
                  </w:r>
                  <w:r>
                    <w:rPr>
                      <w:bCs/>
                      <w:sz w:val="20"/>
                      <w:szCs w:val="20"/>
                    </w:rPr>
                    <w:t xml:space="preserve"> ежемесячно, каждое(ые)</w:t>
                  </w:r>
                  <w:r>
                    <w:rPr>
                      <w:rStyle w:val="941"/>
                      <w:bCs/>
                      <w:sz w:val="20"/>
                      <w:szCs w:val="20"/>
                    </w:rPr>
                    <w:footnoteReference w:id="4"/>
                  </w:r>
                  <w:r>
                    <w:rPr>
                      <w:bCs/>
                      <w:sz w:val="20"/>
                      <w:szCs w:val="20"/>
                    </w:rPr>
                    <w:t xml:space="preserve">____________________числа месяца</w:t>
                  </w:r>
                  <w:r>
                    <w:rPr>
                      <w:bCs/>
                      <w:sz w:val="20"/>
                      <w:szCs w:val="20"/>
                    </w:rPr>
                  </w:r>
                  <w:r>
                    <w:rPr>
                      <w:bCs/>
                      <w:sz w:val="20"/>
                      <w:szCs w:val="20"/>
                    </w:rPr>
                  </w:r>
                </w:p>
                <w:p>
                  <w:pPr>
                    <w:pStyle w:val="913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bCs/>
                      <w:sz w:val="20"/>
                      <w:szCs w:val="20"/>
                    </w:rPr>
                    <w:t xml:space="preserve"></w:t>
                  </w:r>
                  <w:r>
                    <w:rPr>
                      <w:bCs/>
                      <w:sz w:val="20"/>
                      <w:szCs w:val="20"/>
                    </w:rPr>
                    <w:t xml:space="preserve"> ежеквартально, каждое________число первого, второго, третьего (выбрать один из вариантов) месяца каждого квартала</w:t>
                  </w:r>
                  <w:r>
                    <w:rPr>
                      <w:bCs/>
                      <w:sz w:val="20"/>
                      <w:szCs w:val="20"/>
                    </w:rPr>
                  </w:r>
                  <w:r>
                    <w:rPr>
                      <w:bCs/>
                      <w:sz w:val="20"/>
                      <w:szCs w:val="20"/>
                    </w:rPr>
                  </w:r>
                </w:p>
                <w:p>
                  <w:pPr>
                    <w:pStyle w:val="913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</w:r>
                  <w:r>
                    <w:rPr>
                      <w:bCs/>
                      <w:sz w:val="20"/>
                      <w:szCs w:val="20"/>
                    </w:rPr>
                  </w:r>
                  <w:r>
                    <w:rPr>
                      <w:bCs/>
                      <w:sz w:val="20"/>
                      <w:szCs w:val="20"/>
                    </w:rPr>
                  </w:r>
                </w:p>
                <w:p>
                  <w:pPr>
                    <w:pStyle w:val="913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Если в каком-либо месяце нет соответствующего числа, то расчетный документ в соответствии с настоящим Распоряжением составляется Банком в последний рабочий день такого месяца</w:t>
                  </w:r>
                  <w:r>
                    <w:rPr>
                      <w:bCs/>
                      <w:sz w:val="20"/>
                      <w:szCs w:val="20"/>
                    </w:rPr>
                  </w:r>
                  <w:r>
                    <w:rPr>
                      <w:bCs/>
                      <w:sz w:val="20"/>
                      <w:szCs w:val="20"/>
                    </w:rPr>
                  </w:r>
                </w:p>
                <w:p>
                  <w:pPr>
                    <w:pStyle w:val="913"/>
                    <w:rPr>
                      <w:bCs/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В случае, если выб</w:t>
                  </w:r>
                  <w:r>
                    <w:rPr>
                      <w:bCs/>
                      <w:sz w:val="20"/>
                      <w:szCs w:val="20"/>
                    </w:rPr>
                    <w:t xml:space="preserve">ранный Клиентом день недели (число месяца, дата) приходится на выходной и/или нерабочий праздничный день, то перевод денежных средств со Счета Клиента осуществляется в первый рабочий день, следующий за выбранным Клиентом днем недели (числом месяца, датой) </w:t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  <w:r>
                    <w:rPr>
                      <w:bCs/>
                      <w:sz w:val="20"/>
                      <w:szCs w:val="20"/>
                      <w:lang w:eastAsia="en-US"/>
                    </w:rPr>
                  </w:r>
                </w:p>
              </w:tc>
            </w:tr>
          </w:tbl>
          <w:p>
            <w:pPr>
              <w:pStyle w:val="913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</w:r>
            <w:r>
              <w:rPr>
                <w:b/>
                <w:bCs/>
                <w:sz w:val="20"/>
                <w:szCs w:val="20"/>
                <w:lang w:eastAsia="en-US"/>
              </w:rPr>
            </w:r>
            <w:r>
              <w:rPr>
                <w:b/>
                <w:bCs/>
                <w:sz w:val="20"/>
                <w:szCs w:val="20"/>
                <w:lang w:eastAsia="en-US"/>
              </w:rPr>
            </w:r>
          </w:p>
          <w:p>
            <w:pPr>
              <w:pStyle w:val="91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Настоящее Распоряжение действует 1 год/ в период с «____»______________20___г. по «___»_____________20__г.</w:t>
            </w:r>
            <w:r>
              <w:rPr>
                <w:b/>
                <w:bCs/>
                <w:vertAlign w:val="superscript"/>
              </w:rPr>
              <w:footnoteReference w:id="5"/>
            </w:r>
            <w:r>
              <w:rPr>
                <w:b/>
                <w:bCs/>
                <w:sz w:val="20"/>
                <w:szCs w:val="20"/>
              </w:rPr>
              <w:t xml:space="preserve">(включительно) и может быть отменено по заявлению Клиента не позднее, чем за 1 (один) рабочий день до дня осуществления перевода денежных средств в рамках настоящего Распоряжения, начиная с которого Банк прекращает исполнять настоящее Распоряжение Клиента.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913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</w:tbl>
    <w:p>
      <w:pPr>
        <w:pStyle w:val="913"/>
        <w:ind w:hanging="56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13"/>
        <w:ind w:hanging="56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13"/>
        <w:ind w:hanging="567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13"/>
        <w:ind w:left="4956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13"/>
        <w:ind w:left="4956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13"/>
        <w:ind w:left="4956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_____________________________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1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(п</w:t>
      </w:r>
      <w:r>
        <w:rPr>
          <w:color w:val="000000"/>
          <w:sz w:val="20"/>
          <w:szCs w:val="20"/>
        </w:rPr>
        <w:t xml:space="preserve">одпись (ЭП)</w:t>
      </w:r>
      <w:r>
        <w:rPr>
          <w:color w:val="000000"/>
          <w:sz w:val="20"/>
          <w:szCs w:val="20"/>
        </w:rPr>
        <w:t xml:space="preserve">)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1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М.П.                                                                                                                      «___» ___________ 20__ г.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13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  <w:r>
        <w:rPr>
          <w:rFonts w:eastAsia="Calibri"/>
          <w:sz w:val="22"/>
          <w:szCs w:val="22"/>
          <w:lang w:eastAsia="en-US"/>
        </w:rPr>
      </w:r>
      <w:r>
        <w:rPr>
          <w:rFonts w:eastAsia="Calibri"/>
          <w:sz w:val="22"/>
          <w:szCs w:val="22"/>
          <w:lang w:eastAsia="en-US"/>
        </w:rPr>
      </w:r>
    </w:p>
    <w:tbl>
      <w:tblPr>
        <w:tblW w:w="6062" w:type="dxa"/>
        <w:tblInd w:w="93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6"/>
        <w:gridCol w:w="3719"/>
        <w:gridCol w:w="960"/>
        <w:gridCol w:w="960"/>
        <w:gridCol w:w="960"/>
      </w:tblGrid>
      <w:tr>
        <w:tblPrEx/>
        <w:trPr>
          <w:trHeight w:val="300"/>
        </w:trPr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42" w:type="dxa"/>
            <w:vAlign w:val="bottom"/>
            <w:textDirection w:val="lrTb"/>
            <w:noWrap/>
          </w:tcPr>
          <w:p>
            <w:pPr>
              <w:pStyle w:val="913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Отметка Банка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9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9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82" w:type="dxa"/>
            <w:vAlign w:val="bottom"/>
            <w:textDirection w:val="lrTb"/>
            <w:noWrap/>
          </w:tcPr>
          <w:p>
            <w:pPr>
              <w:pStyle w:val="913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Принято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  <w:p>
            <w:pPr>
              <w:pStyle w:val="91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  <w:r>
              <w:rPr>
                <w:b/>
                <w:bCs/>
                <w:color w:val="000000"/>
              </w:rPr>
            </w:r>
          </w:p>
          <w:p>
            <w:pPr>
              <w:pStyle w:val="913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«____»_____________________20__г.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9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9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9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00"/>
        </w:trPr>
        <w:tc>
          <w:tcPr>
            <w:tcW w:w="299" w:type="dxa"/>
            <w:vAlign w:val="bottom"/>
            <w:textDirection w:val="lrTb"/>
            <w:noWrap/>
          </w:tcPr>
          <w:p>
            <w:pPr>
              <w:pStyle w:val="9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5763" w:type="dxa"/>
            <w:vAlign w:val="bottom"/>
            <w:textDirection w:val="lrTb"/>
            <w:noWrap/>
          </w:tcPr>
          <w:p>
            <w:pPr>
              <w:pStyle w:val="913"/>
              <w:ind w:left="-25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9" w:type="dxa"/>
            <w:vAlign w:val="bottom"/>
            <w:textDirection w:val="lrTb"/>
            <w:noWrap/>
          </w:tcPr>
          <w:p>
            <w:pPr>
              <w:pStyle w:val="9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63" w:type="dxa"/>
            <w:vAlign w:val="top"/>
            <w:textDirection w:val="lrTb"/>
            <w:noWrap/>
          </w:tcPr>
          <w:p>
            <w:pPr>
              <w:pStyle w:val="9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</w:t>
            </w:r>
            <w:r>
              <w:rPr>
                <w:color w:val="000000"/>
                <w:sz w:val="16"/>
                <w:szCs w:val="16"/>
              </w:rPr>
              <w:t xml:space="preserve">Ф.И.О. уполномоченного представителя Банка</w:t>
            </w:r>
            <w:r>
              <w:rPr>
                <w:color w:val="000000"/>
                <w:sz w:val="16"/>
                <w:szCs w:val="16"/>
              </w:rPr>
              <w:t xml:space="preserve">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tcW w:w="299" w:type="dxa"/>
            <w:vAlign w:val="bottom"/>
            <w:textDirection w:val="lrTb"/>
            <w:noWrap/>
          </w:tcPr>
          <w:p>
            <w:pPr>
              <w:pStyle w:val="9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none" w:color="FFFFFF" w:sz="255" w:space="0"/>
            </w:tcBorders>
            <w:tcW w:w="5763" w:type="dxa"/>
            <w:vAlign w:val="bottom"/>
            <w:textDirection w:val="lrTb"/>
            <w:noWrap/>
          </w:tcPr>
          <w:p>
            <w:pPr>
              <w:pStyle w:val="9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9" w:type="dxa"/>
            <w:vAlign w:val="bottom"/>
            <w:textDirection w:val="lrTb"/>
            <w:noWrap/>
          </w:tcPr>
          <w:p>
            <w:pPr>
              <w:pStyle w:val="9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63" w:type="dxa"/>
            <w:vAlign w:val="top"/>
            <w:textDirection w:val="lrTb"/>
            <w:noWrap/>
          </w:tcPr>
          <w:p>
            <w:pPr>
              <w:pStyle w:val="9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</w:t>
            </w:r>
            <w:r>
              <w:rPr>
                <w:color w:val="000000"/>
                <w:sz w:val="16"/>
                <w:szCs w:val="16"/>
              </w:rPr>
              <w:t xml:space="preserve">подпись (ЭП)</w:t>
            </w:r>
            <w:r>
              <w:rPr>
                <w:color w:val="000000"/>
                <w:sz w:val="16"/>
                <w:szCs w:val="16"/>
              </w:rPr>
              <w:t xml:space="preserve">)</w:t>
            </w:r>
            <w:r>
              <w:rPr>
                <w:color w:val="000000"/>
                <w:sz w:val="16"/>
                <w:szCs w:val="16"/>
              </w:rPr>
            </w:r>
            <w:r>
              <w:rPr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9" w:type="dxa"/>
            <w:vAlign w:val="bottom"/>
            <w:textDirection w:val="lrTb"/>
            <w:noWrap/>
          </w:tcPr>
          <w:p>
            <w:pPr>
              <w:pStyle w:val="9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3" w:type="dxa"/>
            <w:vAlign w:val="bottom"/>
            <w:textDirection w:val="lrTb"/>
            <w:noWrap/>
          </w:tcPr>
          <w:p>
            <w:pPr>
              <w:pStyle w:val="9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9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9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60" w:type="dxa"/>
            <w:vAlign w:val="bottom"/>
            <w:textDirection w:val="lrTb"/>
            <w:noWrap/>
          </w:tcPr>
          <w:p>
            <w:pPr>
              <w:pStyle w:val="9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913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  <w:r>
        <w:rPr>
          <w:sz w:val="22"/>
          <w:szCs w:val="22"/>
          <w:lang w:eastAsia="en-US"/>
        </w:rPr>
      </w:r>
    </w:p>
    <w:p>
      <w:pPr>
        <w:pStyle w:val="926"/>
        <w:ind w:left="567" w:right="0" w:firstLine="0"/>
        <w:jc w:val="both"/>
        <w:widowControl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7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134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38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941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Рабочим днем для целей настоящего Распоряжения Клиента признается календарный день, не являющийся выходным или нерабочим праздничным в соответствии с законодательством Р</w:t>
      </w:r>
      <w:r>
        <w:rPr>
          <w:rFonts w:ascii="Times New Roman" w:hAnsi="Times New Roman"/>
          <w:sz w:val="18"/>
          <w:szCs w:val="18"/>
        </w:rPr>
        <w:t xml:space="preserve">оссийской </w:t>
      </w:r>
      <w:r>
        <w:rPr>
          <w:rFonts w:ascii="Times New Roman" w:hAnsi="Times New Roman"/>
          <w:sz w:val="18"/>
          <w:szCs w:val="18"/>
        </w:rPr>
        <w:t xml:space="preserve">Ф</w:t>
      </w:r>
      <w:r>
        <w:rPr>
          <w:rFonts w:ascii="Times New Roman" w:hAnsi="Times New Roman"/>
          <w:sz w:val="18"/>
          <w:szCs w:val="18"/>
        </w:rPr>
        <w:t xml:space="preserve">едерации</w:t>
      </w:r>
      <w:r>
        <w:rPr>
          <w:rFonts w:ascii="Times New Roman" w:hAnsi="Times New Roman"/>
          <w:sz w:val="18"/>
          <w:szCs w:val="18"/>
        </w:rPr>
        <w:t xml:space="preserve">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3">
    <w:p>
      <w:pPr>
        <w:pStyle w:val="938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941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Выбирается один или несколько дней недели с понедельника по пятницу включительно.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4">
    <w:p>
      <w:pPr>
        <w:pStyle w:val="938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941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Выбирается одно или несколько любых чисел месяца с </w:t>
      </w:r>
      <w:r>
        <w:rPr>
          <w:rFonts w:ascii="Times New Roman" w:hAnsi="Times New Roman"/>
          <w:sz w:val="18"/>
          <w:szCs w:val="18"/>
        </w:rPr>
        <w:t xml:space="preserve">0</w:t>
      </w:r>
      <w:r>
        <w:rPr>
          <w:rFonts w:ascii="Times New Roman" w:hAnsi="Times New Roman"/>
          <w:sz w:val="18"/>
          <w:szCs w:val="18"/>
        </w:rPr>
        <w:t xml:space="preserve">1 по 31 включительно.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5">
    <w:p>
      <w:pPr>
        <w:pStyle w:val="938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941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Но не более 3 (трех) лет.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rPr>
        <w:rStyle w:val="924"/>
        <w:sz w:val="20"/>
        <w:szCs w:val="20"/>
      </w:rPr>
      <w:framePr w:vAnchor="text" w:hAnchor="margin" w:xAlign="center" w:y="1"/>
    </w:pPr>
    <w:r>
      <w:rPr>
        <w:rStyle w:val="924"/>
        <w:sz w:val="20"/>
        <w:szCs w:val="20"/>
      </w:rPr>
      <w:fldChar w:fldCharType="begin"/>
    </w:r>
    <w:r>
      <w:rPr>
        <w:rStyle w:val="924"/>
        <w:sz w:val="20"/>
        <w:szCs w:val="20"/>
      </w:rPr>
      <w:instrText xml:space="preserve">PAGE  </w:instrText>
    </w:r>
    <w:r>
      <w:rPr>
        <w:rStyle w:val="924"/>
        <w:sz w:val="20"/>
        <w:szCs w:val="20"/>
      </w:rPr>
      <w:fldChar w:fldCharType="separate"/>
    </w:r>
    <w:r>
      <w:rPr>
        <w:rStyle w:val="924"/>
        <w:sz w:val="20"/>
        <w:szCs w:val="20"/>
      </w:rPr>
      <w:t xml:space="preserve">4</w:t>
    </w:r>
    <w:r>
      <w:rPr>
        <w:rStyle w:val="924"/>
        <w:sz w:val="20"/>
        <w:szCs w:val="20"/>
      </w:rPr>
      <w:fldChar w:fldCharType="end"/>
    </w:r>
    <w:r>
      <w:rPr>
        <w:rStyle w:val="924"/>
        <w:sz w:val="20"/>
        <w:szCs w:val="20"/>
      </w:rPr>
    </w:r>
    <w:r>
      <w:rPr>
        <w:rStyle w:val="924"/>
        <w:sz w:val="20"/>
        <w:szCs w:val="20"/>
      </w:rPr>
    </w:r>
  </w:p>
  <w:p>
    <w:pPr>
      <w:pStyle w:val="92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25" w:hanging="10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5">
    <w:name w:val="Heading 1"/>
    <w:basedOn w:val="913"/>
    <w:next w:val="913"/>
    <w:link w:val="73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6">
    <w:name w:val="Heading 1 Char"/>
    <w:link w:val="735"/>
    <w:uiPriority w:val="9"/>
    <w:rPr>
      <w:rFonts w:ascii="Arial" w:hAnsi="Arial" w:eastAsia="Arial" w:cs="Arial"/>
      <w:sz w:val="40"/>
      <w:szCs w:val="40"/>
    </w:rPr>
  </w:style>
  <w:style w:type="paragraph" w:styleId="737">
    <w:name w:val="Heading 2"/>
    <w:basedOn w:val="913"/>
    <w:next w:val="913"/>
    <w:link w:val="73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8">
    <w:name w:val="Heading 2 Char"/>
    <w:link w:val="737"/>
    <w:uiPriority w:val="9"/>
    <w:rPr>
      <w:rFonts w:ascii="Arial" w:hAnsi="Arial" w:eastAsia="Arial" w:cs="Arial"/>
      <w:sz w:val="34"/>
    </w:rPr>
  </w:style>
  <w:style w:type="paragraph" w:styleId="739">
    <w:name w:val="Heading 3"/>
    <w:basedOn w:val="913"/>
    <w:next w:val="913"/>
    <w:link w:val="74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0">
    <w:name w:val="Heading 3 Char"/>
    <w:link w:val="739"/>
    <w:uiPriority w:val="9"/>
    <w:rPr>
      <w:rFonts w:ascii="Arial" w:hAnsi="Arial" w:eastAsia="Arial" w:cs="Arial"/>
      <w:sz w:val="30"/>
      <w:szCs w:val="30"/>
    </w:rPr>
  </w:style>
  <w:style w:type="paragraph" w:styleId="741">
    <w:name w:val="Heading 4"/>
    <w:basedOn w:val="913"/>
    <w:next w:val="913"/>
    <w:link w:val="74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2">
    <w:name w:val="Heading 4 Char"/>
    <w:link w:val="741"/>
    <w:uiPriority w:val="9"/>
    <w:rPr>
      <w:rFonts w:ascii="Arial" w:hAnsi="Arial" w:eastAsia="Arial" w:cs="Arial"/>
      <w:b/>
      <w:bCs/>
      <w:sz w:val="26"/>
      <w:szCs w:val="26"/>
    </w:rPr>
  </w:style>
  <w:style w:type="paragraph" w:styleId="743">
    <w:name w:val="Heading 5"/>
    <w:basedOn w:val="913"/>
    <w:next w:val="913"/>
    <w:link w:val="7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4">
    <w:name w:val="Heading 5 Char"/>
    <w:link w:val="743"/>
    <w:uiPriority w:val="9"/>
    <w:rPr>
      <w:rFonts w:ascii="Arial" w:hAnsi="Arial" w:eastAsia="Arial" w:cs="Arial"/>
      <w:b/>
      <w:bCs/>
      <w:sz w:val="24"/>
      <w:szCs w:val="24"/>
    </w:rPr>
  </w:style>
  <w:style w:type="paragraph" w:styleId="745">
    <w:name w:val="Heading 6"/>
    <w:basedOn w:val="913"/>
    <w:next w:val="913"/>
    <w:link w:val="74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6">
    <w:name w:val="Heading 6 Char"/>
    <w:link w:val="745"/>
    <w:uiPriority w:val="9"/>
    <w:rPr>
      <w:rFonts w:ascii="Arial" w:hAnsi="Arial" w:eastAsia="Arial" w:cs="Arial"/>
      <w:b/>
      <w:bCs/>
      <w:sz w:val="22"/>
      <w:szCs w:val="22"/>
    </w:rPr>
  </w:style>
  <w:style w:type="paragraph" w:styleId="747">
    <w:name w:val="Heading 7"/>
    <w:basedOn w:val="913"/>
    <w:next w:val="913"/>
    <w:link w:val="7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8">
    <w:name w:val="Heading 7 Char"/>
    <w:link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9">
    <w:name w:val="Heading 8"/>
    <w:basedOn w:val="913"/>
    <w:next w:val="913"/>
    <w:link w:val="7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0">
    <w:name w:val="Heading 8 Char"/>
    <w:link w:val="749"/>
    <w:uiPriority w:val="9"/>
    <w:rPr>
      <w:rFonts w:ascii="Arial" w:hAnsi="Arial" w:eastAsia="Arial" w:cs="Arial"/>
      <w:i/>
      <w:iCs/>
      <w:sz w:val="22"/>
      <w:szCs w:val="22"/>
    </w:rPr>
  </w:style>
  <w:style w:type="paragraph" w:styleId="751">
    <w:name w:val="Heading 9"/>
    <w:basedOn w:val="913"/>
    <w:next w:val="913"/>
    <w:link w:val="7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2">
    <w:name w:val="Heading 9 Char"/>
    <w:link w:val="751"/>
    <w:uiPriority w:val="9"/>
    <w:rPr>
      <w:rFonts w:ascii="Arial" w:hAnsi="Arial" w:eastAsia="Arial" w:cs="Arial"/>
      <w:i/>
      <w:iCs/>
      <w:sz w:val="21"/>
      <w:szCs w:val="21"/>
    </w:rPr>
  </w:style>
  <w:style w:type="paragraph" w:styleId="753">
    <w:name w:val="List Paragraph"/>
    <w:basedOn w:val="913"/>
    <w:uiPriority w:val="34"/>
    <w:qFormat/>
    <w:pPr>
      <w:contextualSpacing/>
      <w:ind w:left="720"/>
    </w:pPr>
  </w:style>
  <w:style w:type="paragraph" w:styleId="754">
    <w:name w:val="No Spacing"/>
    <w:uiPriority w:val="1"/>
    <w:qFormat/>
    <w:pPr>
      <w:spacing w:before="0" w:after="0" w:line="240" w:lineRule="auto"/>
    </w:pPr>
  </w:style>
  <w:style w:type="paragraph" w:styleId="755">
    <w:name w:val="Title"/>
    <w:basedOn w:val="913"/>
    <w:next w:val="913"/>
    <w:link w:val="7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6">
    <w:name w:val="Title Char"/>
    <w:link w:val="755"/>
    <w:uiPriority w:val="10"/>
    <w:rPr>
      <w:sz w:val="48"/>
      <w:szCs w:val="48"/>
    </w:rPr>
  </w:style>
  <w:style w:type="paragraph" w:styleId="757">
    <w:name w:val="Subtitle"/>
    <w:basedOn w:val="913"/>
    <w:next w:val="913"/>
    <w:link w:val="758"/>
    <w:uiPriority w:val="11"/>
    <w:qFormat/>
    <w:pPr>
      <w:spacing w:before="200" w:after="200"/>
    </w:pPr>
    <w:rPr>
      <w:sz w:val="24"/>
      <w:szCs w:val="24"/>
    </w:rPr>
  </w:style>
  <w:style w:type="character" w:styleId="758">
    <w:name w:val="Subtitle Char"/>
    <w:link w:val="757"/>
    <w:uiPriority w:val="11"/>
    <w:rPr>
      <w:sz w:val="24"/>
      <w:szCs w:val="24"/>
    </w:rPr>
  </w:style>
  <w:style w:type="paragraph" w:styleId="759">
    <w:name w:val="Quote"/>
    <w:basedOn w:val="913"/>
    <w:next w:val="913"/>
    <w:link w:val="760"/>
    <w:uiPriority w:val="29"/>
    <w:qFormat/>
    <w:pPr>
      <w:ind w:left="720" w:right="720"/>
    </w:pPr>
    <w:rPr>
      <w:i/>
    </w:rPr>
  </w:style>
  <w:style w:type="character" w:styleId="760">
    <w:name w:val="Quote Char"/>
    <w:link w:val="759"/>
    <w:uiPriority w:val="29"/>
    <w:rPr>
      <w:i/>
    </w:rPr>
  </w:style>
  <w:style w:type="paragraph" w:styleId="761">
    <w:name w:val="Intense Quote"/>
    <w:basedOn w:val="913"/>
    <w:next w:val="913"/>
    <w:link w:val="7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2">
    <w:name w:val="Intense Quote Char"/>
    <w:link w:val="761"/>
    <w:uiPriority w:val="30"/>
    <w:rPr>
      <w:i/>
    </w:rPr>
  </w:style>
  <w:style w:type="paragraph" w:styleId="763">
    <w:name w:val="Header"/>
    <w:basedOn w:val="913"/>
    <w:link w:val="7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4">
    <w:name w:val="Header Char"/>
    <w:link w:val="763"/>
    <w:uiPriority w:val="99"/>
  </w:style>
  <w:style w:type="paragraph" w:styleId="765">
    <w:name w:val="Footer"/>
    <w:basedOn w:val="913"/>
    <w:link w:val="7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6">
    <w:name w:val="Footer Char"/>
    <w:link w:val="765"/>
    <w:uiPriority w:val="99"/>
  </w:style>
  <w:style w:type="paragraph" w:styleId="767">
    <w:name w:val="Caption"/>
    <w:basedOn w:val="913"/>
    <w:next w:val="9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basedOn w:val="767"/>
    <w:link w:val="765"/>
    <w:uiPriority w:val="99"/>
  </w:style>
  <w:style w:type="table" w:styleId="76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5">
    <w:name w:val="Hyperlink"/>
    <w:uiPriority w:val="99"/>
    <w:unhideWhenUsed/>
    <w:rPr>
      <w:color w:val="0000ff" w:themeColor="hyperlink"/>
      <w:u w:val="single"/>
    </w:rPr>
  </w:style>
  <w:style w:type="paragraph" w:styleId="896">
    <w:name w:val="footnote text"/>
    <w:basedOn w:val="913"/>
    <w:link w:val="897"/>
    <w:uiPriority w:val="99"/>
    <w:semiHidden/>
    <w:unhideWhenUsed/>
    <w:pPr>
      <w:spacing w:after="40" w:line="240" w:lineRule="auto"/>
    </w:pPr>
    <w:rPr>
      <w:sz w:val="18"/>
    </w:rPr>
  </w:style>
  <w:style w:type="character" w:styleId="897">
    <w:name w:val="Footnote Text Char"/>
    <w:link w:val="896"/>
    <w:uiPriority w:val="99"/>
    <w:rPr>
      <w:sz w:val="18"/>
    </w:rPr>
  </w:style>
  <w:style w:type="character" w:styleId="898">
    <w:name w:val="footnote reference"/>
    <w:uiPriority w:val="99"/>
    <w:unhideWhenUsed/>
    <w:rPr>
      <w:vertAlign w:val="superscript"/>
    </w:rPr>
  </w:style>
  <w:style w:type="paragraph" w:styleId="899">
    <w:name w:val="endnote text"/>
    <w:basedOn w:val="913"/>
    <w:link w:val="900"/>
    <w:uiPriority w:val="99"/>
    <w:semiHidden/>
    <w:unhideWhenUsed/>
    <w:pPr>
      <w:spacing w:after="0" w:line="240" w:lineRule="auto"/>
    </w:pPr>
    <w:rPr>
      <w:sz w:val="20"/>
    </w:rPr>
  </w:style>
  <w:style w:type="character" w:styleId="900">
    <w:name w:val="Endnote Text Char"/>
    <w:link w:val="899"/>
    <w:uiPriority w:val="99"/>
    <w:rPr>
      <w:sz w:val="20"/>
    </w:rPr>
  </w:style>
  <w:style w:type="character" w:styleId="901">
    <w:name w:val="endnote reference"/>
    <w:uiPriority w:val="99"/>
    <w:semiHidden/>
    <w:unhideWhenUsed/>
    <w:rPr>
      <w:vertAlign w:val="superscript"/>
    </w:rPr>
  </w:style>
  <w:style w:type="paragraph" w:styleId="902">
    <w:name w:val="toc 1"/>
    <w:basedOn w:val="913"/>
    <w:next w:val="913"/>
    <w:uiPriority w:val="39"/>
    <w:unhideWhenUsed/>
    <w:pPr>
      <w:ind w:left="0" w:right="0" w:firstLine="0"/>
      <w:spacing w:after="57"/>
    </w:pPr>
  </w:style>
  <w:style w:type="paragraph" w:styleId="903">
    <w:name w:val="toc 2"/>
    <w:basedOn w:val="913"/>
    <w:next w:val="913"/>
    <w:uiPriority w:val="39"/>
    <w:unhideWhenUsed/>
    <w:pPr>
      <w:ind w:left="283" w:right="0" w:firstLine="0"/>
      <w:spacing w:after="57"/>
    </w:pPr>
  </w:style>
  <w:style w:type="paragraph" w:styleId="904">
    <w:name w:val="toc 3"/>
    <w:basedOn w:val="913"/>
    <w:next w:val="913"/>
    <w:uiPriority w:val="39"/>
    <w:unhideWhenUsed/>
    <w:pPr>
      <w:ind w:left="567" w:right="0" w:firstLine="0"/>
      <w:spacing w:after="57"/>
    </w:pPr>
  </w:style>
  <w:style w:type="paragraph" w:styleId="905">
    <w:name w:val="toc 4"/>
    <w:basedOn w:val="913"/>
    <w:next w:val="913"/>
    <w:uiPriority w:val="39"/>
    <w:unhideWhenUsed/>
    <w:pPr>
      <w:ind w:left="850" w:right="0" w:firstLine="0"/>
      <w:spacing w:after="57"/>
    </w:pPr>
  </w:style>
  <w:style w:type="paragraph" w:styleId="906">
    <w:name w:val="toc 5"/>
    <w:basedOn w:val="913"/>
    <w:next w:val="913"/>
    <w:uiPriority w:val="39"/>
    <w:unhideWhenUsed/>
    <w:pPr>
      <w:ind w:left="1134" w:right="0" w:firstLine="0"/>
      <w:spacing w:after="57"/>
    </w:pPr>
  </w:style>
  <w:style w:type="paragraph" w:styleId="907">
    <w:name w:val="toc 6"/>
    <w:basedOn w:val="913"/>
    <w:next w:val="913"/>
    <w:uiPriority w:val="39"/>
    <w:unhideWhenUsed/>
    <w:pPr>
      <w:ind w:left="1417" w:right="0" w:firstLine="0"/>
      <w:spacing w:after="57"/>
    </w:pPr>
  </w:style>
  <w:style w:type="paragraph" w:styleId="908">
    <w:name w:val="toc 7"/>
    <w:basedOn w:val="913"/>
    <w:next w:val="913"/>
    <w:uiPriority w:val="39"/>
    <w:unhideWhenUsed/>
    <w:pPr>
      <w:ind w:left="1701" w:right="0" w:firstLine="0"/>
      <w:spacing w:after="57"/>
    </w:pPr>
  </w:style>
  <w:style w:type="paragraph" w:styleId="909">
    <w:name w:val="toc 8"/>
    <w:basedOn w:val="913"/>
    <w:next w:val="913"/>
    <w:uiPriority w:val="39"/>
    <w:unhideWhenUsed/>
    <w:pPr>
      <w:ind w:left="1984" w:right="0" w:firstLine="0"/>
      <w:spacing w:after="57"/>
    </w:pPr>
  </w:style>
  <w:style w:type="paragraph" w:styleId="910">
    <w:name w:val="toc 9"/>
    <w:basedOn w:val="913"/>
    <w:next w:val="913"/>
    <w:uiPriority w:val="39"/>
    <w:unhideWhenUsed/>
    <w:pPr>
      <w:ind w:left="2268" w:right="0" w:firstLine="0"/>
      <w:spacing w:after="57"/>
    </w:pPr>
  </w:style>
  <w:style w:type="paragraph" w:styleId="911">
    <w:name w:val="TOC Heading"/>
    <w:uiPriority w:val="39"/>
    <w:unhideWhenUsed/>
  </w:style>
  <w:style w:type="paragraph" w:styleId="912">
    <w:name w:val="table of figures"/>
    <w:basedOn w:val="913"/>
    <w:next w:val="913"/>
    <w:uiPriority w:val="99"/>
    <w:unhideWhenUsed/>
    <w:pPr>
      <w:spacing w:after="0" w:afterAutospacing="0"/>
    </w:pPr>
  </w:style>
  <w:style w:type="paragraph" w:styleId="913" w:default="1">
    <w:name w:val="Normal"/>
    <w:next w:val="913"/>
    <w:link w:val="913"/>
    <w:qFormat/>
    <w:rPr>
      <w:sz w:val="24"/>
      <w:szCs w:val="24"/>
      <w:lang w:val="ru-RU" w:eastAsia="ru-RU" w:bidi="ar-SA"/>
    </w:rPr>
  </w:style>
  <w:style w:type="paragraph" w:styleId="914">
    <w:name w:val="Заголовок 1"/>
    <w:basedOn w:val="913"/>
    <w:next w:val="913"/>
    <w:link w:val="913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915">
    <w:name w:val="Заголовок 3"/>
    <w:basedOn w:val="913"/>
    <w:next w:val="913"/>
    <w:link w:val="913"/>
    <w:qFormat/>
    <w:pPr>
      <w:jc w:val="center"/>
      <w:keepNext/>
      <w:outlineLvl w:val="2"/>
    </w:pPr>
    <w:rPr>
      <w:b/>
      <w:bCs/>
    </w:rPr>
  </w:style>
  <w:style w:type="paragraph" w:styleId="916">
    <w:name w:val="Заголовок 4"/>
    <w:basedOn w:val="913"/>
    <w:next w:val="913"/>
    <w:link w:val="913"/>
    <w:qFormat/>
    <w:pPr>
      <w:ind w:firstLine="720"/>
      <w:jc w:val="both"/>
      <w:keepNext/>
      <w:outlineLvl w:val="3"/>
    </w:pPr>
    <w:rPr>
      <w:b/>
      <w:bCs/>
      <w:sz w:val="28"/>
      <w:szCs w:val="28"/>
    </w:rPr>
  </w:style>
  <w:style w:type="character" w:styleId="917">
    <w:name w:val="Основной шрифт абзаца"/>
    <w:next w:val="917"/>
    <w:link w:val="913"/>
    <w:semiHidden/>
  </w:style>
  <w:style w:type="table" w:styleId="918">
    <w:name w:val="Обычная таблица"/>
    <w:next w:val="918"/>
    <w:link w:val="913"/>
    <w:semiHidden/>
    <w:tblPr/>
  </w:style>
  <w:style w:type="numbering" w:styleId="919">
    <w:name w:val="Нет списка"/>
    <w:next w:val="919"/>
    <w:link w:val="913"/>
    <w:semiHidden/>
  </w:style>
  <w:style w:type="paragraph" w:styleId="920">
    <w:name w:val="Название"/>
    <w:basedOn w:val="913"/>
    <w:next w:val="920"/>
    <w:link w:val="913"/>
    <w:qFormat/>
    <w:pPr>
      <w:jc w:val="center"/>
    </w:pPr>
    <w:rPr>
      <w:b/>
      <w:bCs/>
      <w:sz w:val="28"/>
      <w:szCs w:val="28"/>
    </w:rPr>
  </w:style>
  <w:style w:type="paragraph" w:styleId="921">
    <w:name w:val="Основной текст с отступом,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913"/>
    <w:next w:val="921"/>
    <w:link w:val="913"/>
    <w:pPr>
      <w:ind w:firstLine="720"/>
      <w:jc w:val="both"/>
    </w:pPr>
  </w:style>
  <w:style w:type="paragraph" w:styleId="922">
    <w:name w:val="Верхний колонтитул"/>
    <w:basedOn w:val="913"/>
    <w:next w:val="922"/>
    <w:link w:val="913"/>
    <w:pPr>
      <w:tabs>
        <w:tab w:val="center" w:pos="4677" w:leader="none"/>
        <w:tab w:val="right" w:pos="9355" w:leader="none"/>
      </w:tabs>
    </w:pPr>
  </w:style>
  <w:style w:type="paragraph" w:styleId="923">
    <w:name w:val="Основной текст,Основной текст_отчет,bt"/>
    <w:basedOn w:val="913"/>
    <w:next w:val="923"/>
    <w:link w:val="913"/>
    <w:pPr>
      <w:jc w:val="both"/>
    </w:pPr>
  </w:style>
  <w:style w:type="character" w:styleId="924">
    <w:name w:val="Номер страницы"/>
    <w:basedOn w:val="917"/>
    <w:next w:val="924"/>
    <w:link w:val="913"/>
  </w:style>
  <w:style w:type="paragraph" w:styleId="925">
    <w:name w:val="Подзаголовок"/>
    <w:basedOn w:val="913"/>
    <w:next w:val="925"/>
    <w:link w:val="913"/>
    <w:qFormat/>
    <w:pPr>
      <w:jc w:val="center"/>
    </w:pPr>
    <w:rPr>
      <w:rFonts w:ascii="Arial" w:hAnsi="Arial" w:cs="Arial"/>
      <w:b/>
      <w:bCs/>
      <w:sz w:val="22"/>
      <w:szCs w:val="22"/>
    </w:rPr>
  </w:style>
  <w:style w:type="paragraph" w:styleId="926">
    <w:name w:val="ConsNormal"/>
    <w:next w:val="926"/>
    <w:link w:val="913"/>
    <w:pPr>
      <w:ind w:right="19772" w:firstLine="720"/>
      <w:widowControl w:val="off"/>
    </w:pPr>
    <w:rPr>
      <w:rFonts w:ascii="Arial" w:hAnsi="Arial" w:cs="Arial"/>
      <w:sz w:val="16"/>
      <w:szCs w:val="16"/>
      <w:lang w:val="ru-RU" w:eastAsia="ru-RU" w:bidi="ar-SA"/>
    </w:rPr>
  </w:style>
  <w:style w:type="paragraph" w:styleId="927">
    <w:name w:val="Основной текст с отступом 3"/>
    <w:basedOn w:val="913"/>
    <w:next w:val="927"/>
    <w:link w:val="928"/>
    <w:pPr>
      <w:ind w:left="283"/>
      <w:spacing w:after="120"/>
    </w:pPr>
    <w:rPr>
      <w:sz w:val="16"/>
      <w:szCs w:val="16"/>
      <w:lang w:val="en-US" w:eastAsia="en-US"/>
    </w:rPr>
  </w:style>
  <w:style w:type="character" w:styleId="928">
    <w:name w:val="Основной текст с отступом 3 Знак"/>
    <w:next w:val="928"/>
    <w:link w:val="927"/>
    <w:rPr>
      <w:sz w:val="16"/>
      <w:szCs w:val="16"/>
    </w:rPr>
  </w:style>
  <w:style w:type="paragraph" w:styleId="929">
    <w:name w:val="Текст выноски"/>
    <w:basedOn w:val="913"/>
    <w:next w:val="929"/>
    <w:link w:val="930"/>
    <w:rPr>
      <w:rFonts w:ascii="Tahoma" w:hAnsi="Tahoma"/>
      <w:sz w:val="16"/>
      <w:szCs w:val="16"/>
      <w:lang w:val="en-US" w:eastAsia="en-US"/>
    </w:rPr>
  </w:style>
  <w:style w:type="character" w:styleId="930">
    <w:name w:val="Текст выноски Знак"/>
    <w:next w:val="930"/>
    <w:link w:val="929"/>
    <w:rPr>
      <w:rFonts w:ascii="Tahoma" w:hAnsi="Tahoma" w:cs="Tahoma"/>
      <w:sz w:val="16"/>
      <w:szCs w:val="16"/>
    </w:rPr>
  </w:style>
  <w:style w:type="paragraph" w:styleId="931">
    <w:name w:val="ConsPlusNormal"/>
    <w:next w:val="931"/>
    <w:link w:val="913"/>
    <w:pPr>
      <w:ind w:firstLine="720"/>
    </w:pPr>
    <w:rPr>
      <w:rFonts w:ascii="Arial" w:hAnsi="Arial" w:cs="Arial"/>
      <w:lang w:val="ru-RU" w:eastAsia="ru-RU" w:bidi="ar-SA"/>
    </w:rPr>
  </w:style>
  <w:style w:type="character" w:styleId="932">
    <w:name w:val="Знак примечания"/>
    <w:next w:val="932"/>
    <w:link w:val="913"/>
    <w:rPr>
      <w:sz w:val="16"/>
      <w:szCs w:val="16"/>
    </w:rPr>
  </w:style>
  <w:style w:type="paragraph" w:styleId="933">
    <w:name w:val="Текст примечания"/>
    <w:basedOn w:val="913"/>
    <w:next w:val="933"/>
    <w:link w:val="934"/>
    <w:rPr>
      <w:sz w:val="20"/>
      <w:szCs w:val="20"/>
    </w:rPr>
  </w:style>
  <w:style w:type="character" w:styleId="934">
    <w:name w:val="Текст примечания Знак"/>
    <w:basedOn w:val="917"/>
    <w:next w:val="934"/>
    <w:link w:val="933"/>
  </w:style>
  <w:style w:type="paragraph" w:styleId="935">
    <w:name w:val="Тема примечания"/>
    <w:basedOn w:val="933"/>
    <w:next w:val="933"/>
    <w:link w:val="936"/>
    <w:rPr>
      <w:b/>
      <w:bCs/>
    </w:rPr>
  </w:style>
  <w:style w:type="character" w:styleId="936">
    <w:name w:val="Тема примечания Знак"/>
    <w:next w:val="936"/>
    <w:link w:val="935"/>
    <w:rPr>
      <w:b/>
      <w:bCs/>
    </w:rPr>
  </w:style>
  <w:style w:type="paragraph" w:styleId="937">
    <w:name w:val="Абзац списка"/>
    <w:basedOn w:val="913"/>
    <w:next w:val="937"/>
    <w:link w:val="913"/>
    <w:uiPriority w:val="34"/>
    <w:qFormat/>
    <w:pPr>
      <w:ind w:left="708"/>
    </w:pPr>
  </w:style>
  <w:style w:type="paragraph" w:styleId="938">
    <w:name w:val="Текст сноски"/>
    <w:basedOn w:val="913"/>
    <w:next w:val="938"/>
    <w:link w:val="939"/>
    <w:uiPriority w:val="99"/>
    <w:unhideWhenUsed/>
    <w:pPr>
      <w:spacing w:after="200" w:line="276" w:lineRule="auto"/>
    </w:pPr>
    <w:rPr>
      <w:rFonts w:ascii="Calibri" w:hAnsi="Calibri" w:eastAsia="Calibri"/>
      <w:sz w:val="20"/>
      <w:szCs w:val="20"/>
      <w:lang w:eastAsia="en-US"/>
    </w:rPr>
  </w:style>
  <w:style w:type="character" w:styleId="939">
    <w:name w:val="Текст сноски Знак"/>
    <w:next w:val="939"/>
    <w:link w:val="938"/>
    <w:uiPriority w:val="99"/>
    <w:rPr>
      <w:rFonts w:ascii="Calibri" w:hAnsi="Calibri" w:eastAsia="Calibri"/>
      <w:lang w:eastAsia="en-US"/>
    </w:rPr>
  </w:style>
  <w:style w:type="paragraph" w:styleId="940">
    <w:name w:val="Normal1"/>
    <w:next w:val="940"/>
    <w:link w:val="913"/>
    <w:uiPriority w:val="99"/>
    <w:rPr>
      <w:lang w:val="ru-RU" w:eastAsia="ru-RU" w:bidi="ar-SA"/>
    </w:rPr>
  </w:style>
  <w:style w:type="character" w:styleId="941">
    <w:name w:val="Знак сноски"/>
    <w:next w:val="941"/>
    <w:link w:val="913"/>
    <w:uiPriority w:val="99"/>
    <w:unhideWhenUsed/>
    <w:rPr>
      <w:vertAlign w:val="superscript"/>
    </w:rPr>
  </w:style>
  <w:style w:type="character" w:styleId="942" w:default="1">
    <w:name w:val="Default Paragraph Font"/>
    <w:uiPriority w:val="1"/>
    <w:semiHidden/>
    <w:unhideWhenUsed/>
  </w:style>
  <w:style w:type="numbering" w:styleId="943" w:default="1">
    <w:name w:val="No List"/>
    <w:uiPriority w:val="99"/>
    <w:semiHidden/>
    <w:unhideWhenUsed/>
  </w:style>
  <w:style w:type="table" w:styleId="9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RSHB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7-1</dc:title>
  <dc:creator>Ydova</dc:creator>
  <cp:revision>14</cp:revision>
  <dcterms:created xsi:type="dcterms:W3CDTF">2020-12-07T17:54:00Z</dcterms:created>
  <dcterms:modified xsi:type="dcterms:W3CDTF">2025-04-03T14:23:13Z</dcterms:modified>
  <cp:version>1048576</cp:version>
</cp:coreProperties>
</file>